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C33CF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Oak Hills</w:t>
      </w:r>
    </w:p>
    <w:p w:rsidR="00C33CF2" w:rsidRDefault="00C33CF2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C33CF2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C33CF2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  <w:vertAlign w:val="superscript"/>
        </w:rPr>
        <w:t xml:space="preserve"> </w:t>
      </w:r>
      <w:r>
        <w:rPr>
          <w:rFonts w:ascii="Californian FB" w:hAnsi="Californian FB"/>
          <w:b/>
          <w:sz w:val="40"/>
          <w:szCs w:val="40"/>
        </w:rPr>
        <w:t>Quarters Combined</w:t>
      </w:r>
    </w:p>
    <w:p w:rsidR="00C33CF2" w:rsidRDefault="00C33CF2">
      <w:pPr>
        <w:rPr>
          <w:rFonts w:ascii="Californian FB" w:hAnsi="Californian FB"/>
          <w:b/>
          <w:sz w:val="40"/>
          <w:szCs w:val="40"/>
        </w:rPr>
      </w:pPr>
    </w:p>
    <w:p w:rsidR="00C33CF2" w:rsidRPr="00C33CF2" w:rsidRDefault="00C33CF2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4B5EA3A" wp14:editId="5A40ED63">
            <wp:extent cx="9220200" cy="5895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  <w:r>
        <w:rPr>
          <w:rFonts w:ascii="Californian FB" w:hAnsi="Californian FB"/>
          <w:b/>
          <w:sz w:val="40"/>
          <w:szCs w:val="40"/>
        </w:rPr>
        <w:t xml:space="preserve"> </w:t>
      </w:r>
    </w:p>
    <w:sectPr w:rsidR="00C33CF2" w:rsidRPr="00C33CF2" w:rsidSect="00C33C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F2"/>
    <w:rsid w:val="00206930"/>
    <w:rsid w:val="008F7C7D"/>
    <w:rsid w:val="00C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F4D9-36A4-4F7E-8B6E-8B5B2AF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65 Home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9</c:v>
                </c:pt>
                <c:pt idx="7">
                  <c:v>4</c:v>
                </c:pt>
                <c:pt idx="8">
                  <c:v>8</c:v>
                </c:pt>
                <c:pt idx="9">
                  <c:v>9</c:v>
                </c:pt>
                <c:pt idx="10">
                  <c:v>6</c:v>
                </c:pt>
                <c:pt idx="11">
                  <c:v>12</c:v>
                </c:pt>
                <c:pt idx="12">
                  <c:v>6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5221184"/>
        <c:axId val="405223536"/>
        <c:axId val="0"/>
      </c:bar3DChart>
      <c:catAx>
        <c:axId val="40522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223536"/>
        <c:crosses val="autoZero"/>
        <c:auto val="1"/>
        <c:lblAlgn val="ctr"/>
        <c:lblOffset val="100"/>
        <c:noMultiLvlLbl val="0"/>
      </c:catAx>
      <c:valAx>
        <c:axId val="405223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522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0.16012</cdr:x>
      <cdr:y>0.13247</cdr:y>
    </cdr:from>
    <cdr:to>
      <cdr:x>0.56095</cdr:x>
      <cdr:y>0.17447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81050"/>
          <a:ext cx="3695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3,498</a:t>
          </a:r>
          <a:r>
            <a:rPr lang="en-US" sz="1100" i="1"/>
            <a:t> - Average Year Built </a:t>
          </a:r>
          <a:r>
            <a:rPr lang="en-US" sz="1100" b="1" i="1"/>
            <a:t>2003</a:t>
          </a:r>
        </a:p>
      </cdr:txBody>
    </cdr:sp>
  </cdr:relSizeAnchor>
  <cdr:relSizeAnchor xmlns:cdr="http://schemas.openxmlformats.org/drawingml/2006/chartDrawing">
    <cdr:from>
      <cdr:x>0.16012</cdr:x>
      <cdr:y>0.19709</cdr:y>
    </cdr:from>
    <cdr:to>
      <cdr:x>0.52686</cdr:x>
      <cdr:y>0.23586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62050"/>
          <a:ext cx="3381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3,514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0.16012</cdr:x>
      <cdr:y>0.2601</cdr:y>
    </cdr:from>
    <cdr:to>
      <cdr:x>0.48554</cdr:x>
      <cdr:y>0.29887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33525"/>
          <a:ext cx="3000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2,868 </a:t>
          </a:r>
          <a:r>
            <a:rPr lang="en-US" sz="1100" i="1"/>
            <a:t>- Average Year Built </a:t>
          </a:r>
          <a:r>
            <a:rPr lang="en-US" sz="1100" b="1" i="1"/>
            <a:t>2002</a:t>
          </a:r>
        </a:p>
      </cdr:txBody>
    </cdr:sp>
  </cdr:relSizeAnchor>
  <cdr:relSizeAnchor xmlns:cdr="http://schemas.openxmlformats.org/drawingml/2006/chartDrawing">
    <cdr:from>
      <cdr:x>0.16116</cdr:x>
      <cdr:y>0.32149</cdr:y>
    </cdr:from>
    <cdr:to>
      <cdr:x>0.48967</cdr:x>
      <cdr:y>0.36187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895475"/>
          <a:ext cx="3028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2,356</a:t>
          </a:r>
          <a:r>
            <a:rPr lang="en-US" sz="1100" i="1"/>
            <a:t> - Average Year Built </a:t>
          </a:r>
          <a:r>
            <a:rPr lang="en-US" sz="1100" b="1" i="1"/>
            <a:t>2002</a:t>
          </a:r>
        </a:p>
      </cdr:txBody>
    </cdr:sp>
  </cdr:relSizeAnchor>
  <cdr:relSizeAnchor xmlns:cdr="http://schemas.openxmlformats.org/drawingml/2006/chartDrawing">
    <cdr:from>
      <cdr:x>0.16012</cdr:x>
      <cdr:y>0.38288</cdr:y>
    </cdr:from>
    <cdr:to>
      <cdr:x>0.48347</cdr:x>
      <cdr:y>0.42165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57425"/>
          <a:ext cx="2981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2,472</a:t>
          </a:r>
          <a:r>
            <a:rPr lang="en-US" sz="1100" i="1"/>
            <a:t> - Average Year Built </a:t>
          </a:r>
          <a:r>
            <a:rPr lang="en-US" sz="1100" b="1" i="1"/>
            <a:t>1996</a:t>
          </a:r>
        </a:p>
      </cdr:txBody>
    </cdr:sp>
  </cdr:relSizeAnchor>
  <cdr:relSizeAnchor xmlns:cdr="http://schemas.openxmlformats.org/drawingml/2006/chartDrawing">
    <cdr:from>
      <cdr:x>0.15909</cdr:x>
      <cdr:y>0.44265</cdr:y>
    </cdr:from>
    <cdr:to>
      <cdr:x>0.49897</cdr:x>
      <cdr:y>0.48627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609850"/>
          <a:ext cx="3133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2,341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1996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0.16012</cdr:x>
      <cdr:y>0.50565</cdr:y>
    </cdr:from>
    <cdr:to>
      <cdr:x>0.46901</cdr:x>
      <cdr:y>0.54604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81325"/>
          <a:ext cx="2847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2,803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2003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0.15909</cdr:x>
      <cdr:y>0.56704</cdr:y>
    </cdr:from>
    <cdr:to>
      <cdr:x>0.51343</cdr:x>
      <cdr:y>0.61066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343275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1,980</a:t>
          </a:r>
          <a:r>
            <a:rPr lang="en-US" sz="1100" i="1"/>
            <a:t> - Average Year Built </a:t>
          </a:r>
          <a:r>
            <a:rPr lang="en-US" sz="1100" b="1" i="1"/>
            <a:t>1994</a:t>
          </a:r>
        </a:p>
      </cdr:txBody>
    </cdr:sp>
  </cdr:relSizeAnchor>
  <cdr:relSizeAnchor xmlns:cdr="http://schemas.openxmlformats.org/drawingml/2006/chartDrawing">
    <cdr:from>
      <cdr:x>0.16012</cdr:x>
      <cdr:y>0.63005</cdr:y>
    </cdr:from>
    <cdr:to>
      <cdr:x>0.5062</cdr:x>
      <cdr:y>0.67367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14750"/>
          <a:ext cx="3190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2,099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2001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0.16012</cdr:x>
      <cdr:y>0.69144</cdr:y>
    </cdr:from>
    <cdr:to>
      <cdr:x>0.49174</cdr:x>
      <cdr:y>0.73344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76700"/>
          <a:ext cx="3057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2,471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0.16012</cdr:x>
      <cdr:y>0.75283</cdr:y>
    </cdr:from>
    <cdr:to>
      <cdr:x>0.47624</cdr:x>
      <cdr:y>0.79968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38650"/>
          <a:ext cx="29146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1,723</a:t>
          </a:r>
          <a:r>
            <a:rPr lang="en-US" sz="1100" i="1" baseline="0"/>
            <a:t> - Average Year Built </a:t>
          </a:r>
          <a:r>
            <a:rPr lang="en-US" sz="1100" b="1" i="1" baseline="0"/>
            <a:t>1987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2017-08-07T22:08:00Z</dcterms:created>
  <dcterms:modified xsi:type="dcterms:W3CDTF">2017-08-07T22:22:00Z</dcterms:modified>
</cp:coreProperties>
</file>